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086EA" w14:textId="043208C2" w:rsidR="00373756" w:rsidRPr="0083147E" w:rsidRDefault="008A72D3" w:rsidP="00E711EC">
      <w:pPr>
        <w:spacing w:line="276" w:lineRule="auto"/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</w:pPr>
      <w:r w:rsidRPr="0083147E"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  <w:t xml:space="preserve">WHEREAS: </w:t>
      </w:r>
      <w:r w:rsidR="00D44ABC" w:rsidRPr="0083147E"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</w:p>
    <w:p w14:paraId="511BEFC9" w14:textId="77777777" w:rsidR="00470FCE" w:rsidRPr="0083147E" w:rsidRDefault="00470FCE" w:rsidP="00373756">
      <w:pPr>
        <w:spacing w:line="276" w:lineRule="auto"/>
        <w:rPr>
          <w:rFonts w:cstheme="minorHAnsi"/>
          <w:sz w:val="22"/>
          <w:szCs w:val="22"/>
        </w:rPr>
      </w:pPr>
    </w:p>
    <w:p w14:paraId="0EA33DAB" w14:textId="685D6EE5" w:rsidR="00243C2C" w:rsidRDefault="008B00B7" w:rsidP="00243C2C">
      <w:pPr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 w:rsidRPr="00853F44">
        <w:rPr>
          <w:sz w:val="22"/>
          <w:szCs w:val="22"/>
        </w:rPr>
        <w:t>Sprouts Farmers Market</w:t>
      </w:r>
      <w:r>
        <w:rPr>
          <w:sz w:val="22"/>
          <w:szCs w:val="22"/>
        </w:rPr>
        <w:t>’s</w:t>
      </w:r>
      <w:r>
        <w:rPr>
          <w:rFonts w:cstheme="minorHAnsi"/>
          <w:color w:val="000000"/>
          <w:sz w:val="22"/>
          <w:szCs w:val="22"/>
        </w:rPr>
        <w:t xml:space="preserve"> </w:t>
      </w:r>
      <w:r w:rsidR="00CC6669">
        <w:rPr>
          <w:rFonts w:cstheme="minorHAnsi"/>
          <w:color w:val="000000"/>
          <w:sz w:val="22"/>
          <w:szCs w:val="22"/>
        </w:rPr>
        <w:t>(</w:t>
      </w:r>
      <w:r w:rsidR="0012168A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Sprouts</w:t>
      </w:r>
      <w:r w:rsidR="00CC6669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)</w:t>
      </w:r>
      <w:r w:rsidR="00243C2C" w:rsidRPr="00853F44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 success lies in the strength of its people. </w:t>
      </w:r>
      <w:r w:rsidR="00243C2C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As the company wrote </w:t>
      </w:r>
      <w:r w:rsidR="00243C2C" w:rsidRPr="00853F44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in its </w:t>
      </w:r>
      <w:r w:rsidRPr="00853F44">
        <w:rPr>
          <w:sz w:val="22"/>
          <w:szCs w:val="22"/>
        </w:rPr>
        <w:t xml:space="preserve">2024 </w:t>
      </w:r>
      <w:r>
        <w:rPr>
          <w:sz w:val="22"/>
          <w:szCs w:val="22"/>
        </w:rPr>
        <w:t>Impact</w:t>
      </w:r>
      <w:r w:rsidRPr="00853F44">
        <w:rPr>
          <w:sz w:val="22"/>
          <w:szCs w:val="22"/>
        </w:rPr>
        <w:t xml:space="preserve"> Report “</w:t>
      </w:r>
      <w:r w:rsidRPr="0042134C">
        <w:rPr>
          <w:sz w:val="22"/>
          <w:szCs w:val="22"/>
        </w:rPr>
        <w:t>Our team members are the heart and soul of everything we do.</w:t>
      </w:r>
      <w:r w:rsidR="00243C2C" w:rsidRPr="00853F44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” </w:t>
      </w:r>
    </w:p>
    <w:p w14:paraId="09DA8B81" w14:textId="77777777" w:rsidR="00243C2C" w:rsidRDefault="00243C2C" w:rsidP="00373756">
      <w:pPr>
        <w:spacing w:line="276" w:lineRule="auto"/>
        <w:rPr>
          <w:sz w:val="22"/>
          <w:szCs w:val="22"/>
        </w:rPr>
      </w:pPr>
    </w:p>
    <w:p w14:paraId="098FF0D5" w14:textId="77777777" w:rsidR="00A17347" w:rsidRDefault="00D9180E" w:rsidP="00F4657C">
      <w:pPr>
        <w:rPr>
          <w:rFonts w:cstheme="minorHAnsi"/>
          <w:color w:val="000000"/>
          <w:sz w:val="22"/>
          <w:szCs w:val="22"/>
        </w:rPr>
      </w:pPr>
      <w:r w:rsidRPr="00F4657C">
        <w:rPr>
          <w:rFonts w:cstheme="minorHAnsi"/>
          <w:color w:val="000000"/>
          <w:sz w:val="22"/>
          <w:szCs w:val="22"/>
        </w:rPr>
        <w:t>A healthy workforce has been associated with higher employee productivity</w:t>
      </w:r>
      <w:r w:rsidR="00237B42">
        <w:rPr>
          <w:rStyle w:val="FootnoteReference"/>
          <w:rFonts w:cstheme="minorHAnsi"/>
          <w:color w:val="000000"/>
          <w:sz w:val="22"/>
          <w:szCs w:val="22"/>
        </w:rPr>
        <w:footnoteReference w:id="1"/>
      </w:r>
      <w:r w:rsidR="00A17347">
        <w:rPr>
          <w:rFonts w:cstheme="minorHAnsi"/>
          <w:color w:val="000000"/>
          <w:sz w:val="22"/>
          <w:szCs w:val="22"/>
        </w:rPr>
        <w:t>,</w:t>
      </w:r>
      <w:r w:rsidR="00A17347">
        <w:rPr>
          <w:rStyle w:val="FootnoteReference"/>
          <w:rFonts w:cstheme="minorHAnsi"/>
          <w:color w:val="000000"/>
          <w:sz w:val="22"/>
          <w:szCs w:val="22"/>
        </w:rPr>
        <w:footnoteReference w:id="2"/>
      </w:r>
      <w:r w:rsidRPr="00F4657C">
        <w:rPr>
          <w:rFonts w:cstheme="minorHAnsi"/>
          <w:color w:val="000000"/>
          <w:sz w:val="22"/>
          <w:szCs w:val="22"/>
        </w:rPr>
        <w:t xml:space="preserve">, reduced absenteeism and reduced presenteeism (equivalent to working while “under the weather”). Employees struggling with illness or medical-related stress are less able to perform well. </w:t>
      </w:r>
      <w:r w:rsidR="00C21CD4" w:rsidRPr="00F4657C">
        <w:rPr>
          <w:rFonts w:cstheme="minorHAnsi"/>
          <w:color w:val="000000"/>
          <w:sz w:val="22"/>
          <w:szCs w:val="22"/>
        </w:rPr>
        <w:t>Research indicates that, across companies, absenteeism and presenteeism is primarily driven by chronic health care conditions. Absenteeism costs per employee nationally are estimated at $1,695 annually and presenteeism holds an additional annual productivity cost estimated at $300 per employee.</w:t>
      </w:r>
      <w:r w:rsidR="00C21CD4" w:rsidRPr="00237B42">
        <w:rPr>
          <w:rFonts w:cstheme="minorHAnsi"/>
          <w:color w:val="000000"/>
          <w:vertAlign w:val="superscript"/>
        </w:rPr>
        <w:footnoteReference w:id="3"/>
      </w:r>
      <w:r w:rsidRPr="00F4657C">
        <w:rPr>
          <w:rFonts w:cstheme="minorHAnsi"/>
          <w:color w:val="000000"/>
          <w:sz w:val="22"/>
          <w:szCs w:val="22"/>
        </w:rPr>
        <w:t xml:space="preserve"> </w:t>
      </w:r>
    </w:p>
    <w:p w14:paraId="6F21BAB2" w14:textId="77777777" w:rsidR="00A17347" w:rsidRDefault="00A17347" w:rsidP="00F4657C">
      <w:pPr>
        <w:rPr>
          <w:rFonts w:cstheme="minorHAnsi"/>
          <w:color w:val="000000"/>
          <w:sz w:val="22"/>
          <w:szCs w:val="22"/>
        </w:rPr>
      </w:pPr>
    </w:p>
    <w:p w14:paraId="0A93541D" w14:textId="12D4CF36" w:rsidR="00C21CD4" w:rsidRPr="00F4657C" w:rsidRDefault="00A17347" w:rsidP="00F4657C">
      <w:pPr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 xml:space="preserve">McKinsey Health Institute estimates that investing in employee health could lead to economic value improvements equaling 17 to 55 percent of </w:t>
      </w:r>
      <w:r w:rsidR="00D3158F">
        <w:rPr>
          <w:rFonts w:cstheme="minorHAnsi"/>
          <w:color w:val="000000"/>
          <w:sz w:val="22"/>
          <w:szCs w:val="22"/>
        </w:rPr>
        <w:t xml:space="preserve">an employee’s </w:t>
      </w:r>
      <w:r>
        <w:rPr>
          <w:rFonts w:cstheme="minorHAnsi"/>
          <w:color w:val="000000"/>
          <w:sz w:val="22"/>
          <w:szCs w:val="22"/>
        </w:rPr>
        <w:t>average annual pay.</w:t>
      </w:r>
      <w:r>
        <w:rPr>
          <w:rStyle w:val="FootnoteReference"/>
          <w:rFonts w:cstheme="minorHAnsi"/>
          <w:color w:val="000000"/>
          <w:sz w:val="22"/>
          <w:szCs w:val="22"/>
        </w:rPr>
        <w:footnoteReference w:id="4"/>
      </w:r>
      <w:r>
        <w:rPr>
          <w:rFonts w:cstheme="minorHAnsi"/>
          <w:color w:val="000000"/>
          <w:sz w:val="22"/>
          <w:szCs w:val="22"/>
        </w:rPr>
        <w:t xml:space="preserve"> </w:t>
      </w:r>
      <w:r w:rsidR="00C21CD4" w:rsidRPr="00F4657C">
        <w:rPr>
          <w:rFonts w:cstheme="minorHAnsi"/>
          <w:color w:val="000000"/>
          <w:sz w:val="22"/>
          <w:szCs w:val="22"/>
        </w:rPr>
        <w:t>Poor employee health care access</w:t>
      </w:r>
      <w:r w:rsidR="00B72611">
        <w:rPr>
          <w:rFonts w:cstheme="minorHAnsi"/>
          <w:color w:val="000000"/>
          <w:sz w:val="22"/>
          <w:szCs w:val="22"/>
        </w:rPr>
        <w:t>, meanwhile,</w:t>
      </w:r>
      <w:r w:rsidR="00C21CD4" w:rsidRPr="00F4657C">
        <w:rPr>
          <w:rFonts w:cstheme="minorHAnsi"/>
          <w:color w:val="000000"/>
          <w:sz w:val="22"/>
          <w:szCs w:val="22"/>
        </w:rPr>
        <w:t xml:space="preserve"> may undermine </w:t>
      </w:r>
      <w:r w:rsidR="00422B25">
        <w:rPr>
          <w:rFonts w:cstheme="minorHAnsi"/>
          <w:color w:val="000000"/>
          <w:sz w:val="22"/>
          <w:szCs w:val="22"/>
        </w:rPr>
        <w:t>Sprouts</w:t>
      </w:r>
      <w:r w:rsidR="00CC6669">
        <w:rPr>
          <w:rFonts w:cstheme="minorHAnsi"/>
          <w:color w:val="000000"/>
          <w:sz w:val="22"/>
          <w:szCs w:val="22"/>
        </w:rPr>
        <w:t>’</w:t>
      </w:r>
      <w:r w:rsidR="00C21CD4" w:rsidRPr="00F4657C">
        <w:rPr>
          <w:rFonts w:cstheme="minorHAnsi"/>
          <w:color w:val="000000"/>
          <w:sz w:val="22"/>
          <w:szCs w:val="22"/>
        </w:rPr>
        <w:t xml:space="preserve"> operations and slow the implementation of its growth strategy. </w:t>
      </w:r>
    </w:p>
    <w:p w14:paraId="0218FE78" w14:textId="77777777" w:rsidR="00D67B48" w:rsidRPr="00243C2C" w:rsidRDefault="00D67B48" w:rsidP="00243C2C">
      <w:pPr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</w:p>
    <w:p w14:paraId="117E8E17" w14:textId="091B7BDA" w:rsidR="0095618F" w:rsidRPr="00243C2C" w:rsidRDefault="00243C2C" w:rsidP="00243C2C">
      <w:pPr>
        <w:rPr>
          <w:color w:val="000000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Despite spending nearly 18% of </w:t>
      </w:r>
      <w:r w:rsidR="00BD4ECF">
        <w:rPr>
          <w:rFonts w:cstheme="minorHAnsi"/>
          <w:sz w:val="22"/>
          <w:szCs w:val="22"/>
        </w:rPr>
        <w:t>gross domestic product</w:t>
      </w:r>
      <w:r>
        <w:rPr>
          <w:rFonts w:cstheme="minorHAnsi"/>
          <w:sz w:val="22"/>
          <w:szCs w:val="22"/>
        </w:rPr>
        <w:t xml:space="preserve"> on healthcare</w:t>
      </w:r>
      <w:r>
        <w:rPr>
          <w:rStyle w:val="FootnoteReference"/>
          <w:rFonts w:cstheme="minorHAnsi"/>
          <w:sz w:val="22"/>
          <w:szCs w:val="22"/>
        </w:rPr>
        <w:footnoteReference w:id="5"/>
      </w:r>
      <w:r>
        <w:rPr>
          <w:rFonts w:cstheme="minorHAnsi"/>
          <w:sz w:val="22"/>
          <w:szCs w:val="22"/>
        </w:rPr>
        <w:t>, c</w:t>
      </w:r>
      <w:r w:rsidR="00FF5E60" w:rsidRPr="0083147E">
        <w:rPr>
          <w:rFonts w:cstheme="minorHAnsi"/>
          <w:sz w:val="22"/>
          <w:szCs w:val="22"/>
        </w:rPr>
        <w:t>ompared to other high-income nations, American</w:t>
      </w:r>
      <w:r w:rsidR="00965E80">
        <w:rPr>
          <w:rFonts w:cstheme="minorHAnsi"/>
          <w:sz w:val="22"/>
          <w:szCs w:val="22"/>
        </w:rPr>
        <w:t>s</w:t>
      </w:r>
      <w:r w:rsidR="00FF5E60" w:rsidRPr="0083147E">
        <w:rPr>
          <w:rFonts w:cstheme="minorHAnsi"/>
          <w:sz w:val="22"/>
          <w:szCs w:val="22"/>
        </w:rPr>
        <w:t xml:space="preserve"> have the lowest life expectancy, the highest death rate</w:t>
      </w:r>
      <w:r w:rsidR="00965E80">
        <w:rPr>
          <w:rFonts w:cstheme="minorHAnsi"/>
          <w:sz w:val="22"/>
          <w:szCs w:val="22"/>
        </w:rPr>
        <w:t>s</w:t>
      </w:r>
      <w:r w:rsidR="00FF5E60" w:rsidRPr="0083147E">
        <w:rPr>
          <w:rFonts w:cstheme="minorHAnsi"/>
          <w:sz w:val="22"/>
          <w:szCs w:val="22"/>
        </w:rPr>
        <w:t xml:space="preserve"> from avoidable causes</w:t>
      </w:r>
      <w:r w:rsidR="00227FE5" w:rsidRPr="0083147E">
        <w:rPr>
          <w:rFonts w:cstheme="minorHAnsi"/>
          <w:sz w:val="22"/>
          <w:szCs w:val="22"/>
        </w:rPr>
        <w:t xml:space="preserve"> and treatable conditions</w:t>
      </w:r>
      <w:r w:rsidR="00FF5E60" w:rsidRPr="0083147E">
        <w:rPr>
          <w:rFonts w:cstheme="minorHAnsi"/>
          <w:sz w:val="22"/>
          <w:szCs w:val="22"/>
        </w:rPr>
        <w:t>, and the highest rate</w:t>
      </w:r>
      <w:r w:rsidR="00965E80">
        <w:rPr>
          <w:rFonts w:cstheme="minorHAnsi"/>
          <w:sz w:val="22"/>
          <w:szCs w:val="22"/>
        </w:rPr>
        <w:t>s</w:t>
      </w:r>
      <w:r w:rsidR="00FF5E60" w:rsidRPr="0083147E">
        <w:rPr>
          <w:rFonts w:cstheme="minorHAnsi"/>
          <w:sz w:val="22"/>
          <w:szCs w:val="22"/>
        </w:rPr>
        <w:t xml:space="preserve"> of people with multiple chronic conditions.</w:t>
      </w:r>
      <w:r w:rsidR="00227FE5" w:rsidRPr="0083147E">
        <w:rPr>
          <w:rFonts w:cstheme="minorHAnsi"/>
          <w:sz w:val="22"/>
          <w:szCs w:val="22"/>
          <w:vertAlign w:val="superscript"/>
        </w:rPr>
        <w:footnoteReference w:id="6"/>
      </w:r>
      <w:r w:rsidR="007C45E0" w:rsidRPr="0083147E">
        <w:rPr>
          <w:rFonts w:cstheme="minorHAnsi"/>
          <w:sz w:val="22"/>
          <w:szCs w:val="22"/>
        </w:rPr>
        <w:t xml:space="preserve"> </w:t>
      </w:r>
      <w:r w:rsidR="00D23E8F" w:rsidRPr="0083147E">
        <w:rPr>
          <w:rFonts w:cstheme="minorHAnsi"/>
          <w:sz w:val="22"/>
          <w:szCs w:val="22"/>
        </w:rPr>
        <w:t>According to a 2024 survey, 48 percent of insured adults worry about affording their monthly health insurance premium and 21 percent still view costs as a barrier to getting the health care they need.</w:t>
      </w:r>
      <w:bookmarkStart w:id="0" w:name="2"/>
      <w:bookmarkStart w:id="1" w:name="13"/>
      <w:bookmarkStart w:id="2" w:name="21"/>
      <w:bookmarkStart w:id="3" w:name="46"/>
      <w:bookmarkStart w:id="4" w:name="58"/>
      <w:bookmarkEnd w:id="0"/>
      <w:bookmarkEnd w:id="1"/>
      <w:bookmarkEnd w:id="2"/>
      <w:bookmarkEnd w:id="3"/>
      <w:bookmarkEnd w:id="4"/>
      <w:r w:rsidR="00D23E8F" w:rsidRPr="0083147E">
        <w:rPr>
          <w:rFonts w:cstheme="minorHAnsi"/>
          <w:sz w:val="22"/>
          <w:szCs w:val="22"/>
          <w:vertAlign w:val="superscript"/>
        </w:rPr>
        <w:footnoteReference w:id="7"/>
      </w:r>
      <w:r w:rsidR="00565DA2">
        <w:rPr>
          <w:rFonts w:cstheme="minorHAnsi"/>
          <w:sz w:val="22"/>
          <w:szCs w:val="22"/>
        </w:rPr>
        <w:t xml:space="preserve"> </w:t>
      </w:r>
      <w:r w:rsidR="00565DA2">
        <w:rPr>
          <w:sz w:val="22"/>
          <w:szCs w:val="22"/>
        </w:rPr>
        <w:t xml:space="preserve">Sprouts has </w:t>
      </w:r>
      <w:r w:rsidR="00565DA2">
        <w:rPr>
          <w:sz w:val="22"/>
          <w:szCs w:val="22"/>
        </w:rPr>
        <w:t xml:space="preserve">particular exposure to the </w:t>
      </w:r>
      <w:r w:rsidR="00565DA2">
        <w:rPr>
          <w:sz w:val="22"/>
          <w:szCs w:val="22"/>
        </w:rPr>
        <w:t>southern states</w:t>
      </w:r>
      <w:r w:rsidR="00565DA2">
        <w:rPr>
          <w:sz w:val="22"/>
          <w:szCs w:val="22"/>
        </w:rPr>
        <w:t>,</w:t>
      </w:r>
      <w:r w:rsidR="00565DA2">
        <w:rPr>
          <w:sz w:val="22"/>
          <w:szCs w:val="22"/>
        </w:rPr>
        <w:t xml:space="preserve"> where </w:t>
      </w:r>
      <w:r w:rsidR="00565DA2" w:rsidRPr="00853F44">
        <w:rPr>
          <w:sz w:val="22"/>
          <w:szCs w:val="22"/>
        </w:rPr>
        <w:t xml:space="preserve">quality of medical services has been </w:t>
      </w:r>
      <w:r w:rsidR="00565DA2">
        <w:rPr>
          <w:sz w:val="22"/>
          <w:szCs w:val="22"/>
        </w:rPr>
        <w:t>identified as insufficient</w:t>
      </w:r>
      <w:r w:rsidR="00ED0E1A">
        <w:rPr>
          <w:sz w:val="22"/>
          <w:szCs w:val="22"/>
        </w:rPr>
        <w:t xml:space="preserve"> by</w:t>
      </w:r>
      <w:r w:rsidR="000F6608">
        <w:rPr>
          <w:sz w:val="22"/>
          <w:szCs w:val="22"/>
        </w:rPr>
        <w:t xml:space="preserve"> </w:t>
      </w:r>
      <w:r w:rsidR="00ED0E1A" w:rsidRPr="00216155">
        <w:rPr>
          <w:i/>
          <w:iCs/>
          <w:sz w:val="22"/>
          <w:szCs w:val="22"/>
        </w:rPr>
        <w:t>Newsweek</w:t>
      </w:r>
      <w:r w:rsidR="00ED0E1A">
        <w:rPr>
          <w:rStyle w:val="FootnoteReference"/>
        </w:rPr>
        <w:footnoteReference w:id="8"/>
      </w:r>
      <w:r w:rsidR="00ED0E1A" w:rsidRPr="00BB25AD">
        <w:rPr>
          <w:i/>
          <w:iCs/>
          <w:sz w:val="22"/>
          <w:szCs w:val="22"/>
        </w:rPr>
        <w:t xml:space="preserve"> </w:t>
      </w:r>
      <w:r w:rsidR="00ED0E1A" w:rsidRPr="00BB25AD">
        <w:rPr>
          <w:sz w:val="22"/>
          <w:szCs w:val="22"/>
        </w:rPr>
        <w:t xml:space="preserve">and </w:t>
      </w:r>
      <w:r w:rsidR="00ED0E1A" w:rsidRPr="00216155">
        <w:rPr>
          <w:i/>
          <w:iCs/>
          <w:sz w:val="22"/>
          <w:szCs w:val="22"/>
        </w:rPr>
        <w:t>Forbes</w:t>
      </w:r>
      <w:r w:rsidR="00ED0E1A" w:rsidRPr="00853F44">
        <w:rPr>
          <w:sz w:val="22"/>
          <w:szCs w:val="22"/>
        </w:rPr>
        <w:t>.</w:t>
      </w:r>
      <w:r w:rsidR="00ED0E1A">
        <w:rPr>
          <w:rStyle w:val="FootnoteReference"/>
          <w:sz w:val="22"/>
          <w:szCs w:val="22"/>
        </w:rPr>
        <w:footnoteReference w:id="9"/>
      </w:r>
    </w:p>
    <w:p w14:paraId="78FF3AC3" w14:textId="77777777" w:rsidR="0012168A" w:rsidRDefault="0012168A" w:rsidP="0012168A">
      <w:pPr>
        <w:rPr>
          <w:sz w:val="22"/>
          <w:szCs w:val="22"/>
        </w:rPr>
      </w:pPr>
    </w:p>
    <w:p w14:paraId="4A138093" w14:textId="41604E52" w:rsidR="00876B12" w:rsidRPr="00977348" w:rsidRDefault="00977348" w:rsidP="00977348">
      <w:pPr>
        <w:rPr>
          <w:sz w:val="22"/>
          <w:szCs w:val="22"/>
        </w:rPr>
      </w:pPr>
      <w:r>
        <w:rPr>
          <w:sz w:val="22"/>
          <w:szCs w:val="22"/>
        </w:rPr>
        <w:t xml:space="preserve">However, opportunities may exist to improve </w:t>
      </w:r>
      <w:r w:rsidR="000F6608">
        <w:rPr>
          <w:sz w:val="22"/>
          <w:szCs w:val="22"/>
        </w:rPr>
        <w:t xml:space="preserve">health </w:t>
      </w:r>
      <w:r>
        <w:rPr>
          <w:sz w:val="22"/>
          <w:szCs w:val="22"/>
        </w:rPr>
        <w:t xml:space="preserve">conditions for employees, </w:t>
      </w:r>
      <w:r w:rsidR="000F6608">
        <w:rPr>
          <w:sz w:val="22"/>
          <w:szCs w:val="22"/>
        </w:rPr>
        <w:t xml:space="preserve">and strengthening </w:t>
      </w:r>
      <w:r>
        <w:rPr>
          <w:sz w:val="22"/>
          <w:szCs w:val="22"/>
        </w:rPr>
        <w:t>Sprouts. Research studies have found it possible to improve health outcomes while reducing employer spending.</w:t>
      </w:r>
      <w:r>
        <w:rPr>
          <w:rStyle w:val="FootnoteReference"/>
          <w:sz w:val="22"/>
          <w:szCs w:val="22"/>
        </w:rPr>
        <w:footnoteReference w:id="10"/>
      </w:r>
      <w:r>
        <w:rPr>
          <w:sz w:val="22"/>
          <w:szCs w:val="22"/>
        </w:rPr>
        <w:t xml:space="preserve"> </w:t>
      </w:r>
      <w:r w:rsidR="00C21CD4">
        <w:rPr>
          <w:sz w:val="22"/>
          <w:szCs w:val="22"/>
        </w:rPr>
        <w:t xml:space="preserve">It is important for investors to understand how </w:t>
      </w:r>
      <w:r w:rsidR="005A5258">
        <w:rPr>
          <w:sz w:val="22"/>
          <w:szCs w:val="22"/>
        </w:rPr>
        <w:t>Sprouts</w:t>
      </w:r>
      <w:r w:rsidR="00C21CD4">
        <w:rPr>
          <w:sz w:val="22"/>
          <w:szCs w:val="22"/>
        </w:rPr>
        <w:t xml:space="preserve"> </w:t>
      </w:r>
      <w:r w:rsidR="00C21CD4" w:rsidRPr="00853F44">
        <w:rPr>
          <w:sz w:val="22"/>
          <w:szCs w:val="22"/>
        </w:rPr>
        <w:t>ensures sufficiency of quality and timely healthcare access for its employees.</w:t>
      </w:r>
      <w:r w:rsidR="00C21CD4"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 w:rsidR="003E0B5D" w:rsidRPr="0083147E">
        <w:rPr>
          <w:rFonts w:eastAsia="Times New Roman" w:cstheme="minorHAnsi"/>
          <w:sz w:val="22"/>
          <w:szCs w:val="22"/>
        </w:rPr>
        <w:t xml:space="preserve">It is </w:t>
      </w:r>
      <w:r w:rsidR="00C21CD4">
        <w:rPr>
          <w:rFonts w:eastAsia="Times New Roman" w:cstheme="minorHAnsi"/>
          <w:sz w:val="22"/>
          <w:szCs w:val="22"/>
        </w:rPr>
        <w:t xml:space="preserve">a </w:t>
      </w:r>
      <w:r w:rsidR="003E0B5D" w:rsidRPr="0083147E">
        <w:rPr>
          <w:rFonts w:eastAsia="Times New Roman" w:cstheme="minorHAnsi"/>
          <w:sz w:val="22"/>
          <w:szCs w:val="22"/>
        </w:rPr>
        <w:t xml:space="preserve">best practice for </w:t>
      </w:r>
      <w:r w:rsidR="0056655F" w:rsidRPr="0083147E">
        <w:rPr>
          <w:rFonts w:eastAsia="Times New Roman" w:cstheme="minorHAnsi"/>
          <w:sz w:val="22"/>
          <w:szCs w:val="22"/>
        </w:rPr>
        <w:t>companies to affirm that they are surveying</w:t>
      </w:r>
      <w:r w:rsidR="003E0B5D" w:rsidRPr="0083147E">
        <w:rPr>
          <w:rFonts w:eastAsia="Times New Roman" w:cstheme="minorHAnsi"/>
          <w:sz w:val="22"/>
          <w:szCs w:val="22"/>
        </w:rPr>
        <w:t xml:space="preserve"> or </w:t>
      </w:r>
      <w:r w:rsidR="0056655F" w:rsidRPr="0083147E">
        <w:rPr>
          <w:rFonts w:eastAsia="Times New Roman" w:cstheme="minorHAnsi"/>
          <w:sz w:val="22"/>
          <w:szCs w:val="22"/>
        </w:rPr>
        <w:t xml:space="preserve">actively tracking the </w:t>
      </w:r>
      <w:r w:rsidR="003E0B5D" w:rsidRPr="0083147E">
        <w:rPr>
          <w:rFonts w:eastAsia="Times New Roman" w:cstheme="minorHAnsi"/>
          <w:sz w:val="22"/>
          <w:szCs w:val="22"/>
        </w:rPr>
        <w:t xml:space="preserve">sufficiency of </w:t>
      </w:r>
      <w:r w:rsidR="0056655F" w:rsidRPr="0083147E">
        <w:rPr>
          <w:rFonts w:eastAsia="Times New Roman" w:cstheme="minorHAnsi"/>
          <w:sz w:val="22"/>
          <w:szCs w:val="22"/>
        </w:rPr>
        <w:t>health care that employees have access to, including employees’ sentiment on the timeliness, breadth, and quality of th</w:t>
      </w:r>
      <w:r w:rsidR="003E0B5D" w:rsidRPr="0083147E">
        <w:rPr>
          <w:rFonts w:eastAsia="Times New Roman" w:cstheme="minorHAnsi"/>
          <w:sz w:val="22"/>
          <w:szCs w:val="22"/>
        </w:rPr>
        <w:t>is care</w:t>
      </w:r>
      <w:r w:rsidR="0056655F" w:rsidRPr="0083147E">
        <w:rPr>
          <w:rFonts w:eastAsia="Times New Roman" w:cstheme="minorHAnsi"/>
          <w:sz w:val="22"/>
          <w:szCs w:val="22"/>
        </w:rPr>
        <w:t xml:space="preserve">. </w:t>
      </w:r>
      <w:r w:rsidR="003E0B5D" w:rsidRPr="0083147E">
        <w:rPr>
          <w:rFonts w:cstheme="minorHAnsi"/>
          <w:sz w:val="22"/>
          <w:szCs w:val="22"/>
        </w:rPr>
        <w:t xml:space="preserve">Employee-focused </w:t>
      </w:r>
      <w:r w:rsidR="0056655F" w:rsidRPr="0083147E">
        <w:rPr>
          <w:rFonts w:cstheme="minorHAnsi"/>
          <w:sz w:val="22"/>
          <w:szCs w:val="22"/>
        </w:rPr>
        <w:t xml:space="preserve">employers </w:t>
      </w:r>
      <w:r w:rsidR="0056655F" w:rsidRPr="0083147E">
        <w:rPr>
          <w:rFonts w:cstheme="minorHAnsi"/>
          <w:sz w:val="22"/>
          <w:szCs w:val="22"/>
        </w:rPr>
        <w:lastRenderedPageBreak/>
        <w:t>are closely monitoring and responding to the reduction of healthcare access and healthcare quality faced by their employees. </w:t>
      </w:r>
    </w:p>
    <w:p w14:paraId="0209844A" w14:textId="77777777" w:rsidR="00D34C8F" w:rsidRPr="0083147E" w:rsidRDefault="00D34C8F" w:rsidP="00AA170E">
      <w:pPr>
        <w:spacing w:line="276" w:lineRule="auto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583FD8CE" w14:textId="77A90C5F" w:rsidR="00DA33DD" w:rsidRPr="0083147E" w:rsidRDefault="008A72D3" w:rsidP="00AA170E">
      <w:pPr>
        <w:spacing w:line="276" w:lineRule="auto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83147E"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  <w:t>RESOLVED:</w:t>
      </w:r>
      <w:r w:rsidR="00D34C8F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 Shareholders request that </w:t>
      </w:r>
      <w:r w:rsidR="00D42FC5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the </w:t>
      </w:r>
      <w:bookmarkStart w:id="5" w:name="_Hlk214965368"/>
      <w:r w:rsidR="00D34C8F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Board of Directors issue a public report</w:t>
      </w:r>
      <w:r w:rsidR="005903AA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 </w:t>
      </w:r>
      <w:r w:rsidR="00D34C8F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omitting confidential information and at reasonable expense, </w:t>
      </w:r>
      <w:r w:rsidR="00C67FEE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reporting on </w:t>
      </w:r>
      <w:r w:rsidR="00E87F38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the </w:t>
      </w:r>
      <w:bookmarkStart w:id="6" w:name="_Hlk214965320"/>
      <w:r w:rsidR="00E87F38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sufficiency of employees’ access to timely, quality healthcare</w:t>
      </w:r>
      <w:bookmarkEnd w:id="6"/>
      <w:r w:rsidR="00E87F38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, and discusses </w:t>
      </w:r>
      <w:r w:rsidR="00DA33DD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the company’s strateg</w:t>
      </w:r>
      <w:r w:rsidR="00EF109A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y</w:t>
      </w:r>
      <w:r w:rsidR="00DA33DD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 to ameliorate </w:t>
      </w:r>
      <w:r w:rsidR="00E87F38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any insufficiencies identified</w:t>
      </w:r>
      <w:r w:rsidR="00DA33DD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.</w:t>
      </w:r>
    </w:p>
    <w:bookmarkEnd w:id="5"/>
    <w:p w14:paraId="72D698BA" w14:textId="77777777" w:rsidR="00406C99" w:rsidRPr="0083147E" w:rsidRDefault="00406C99" w:rsidP="00AA170E">
      <w:pPr>
        <w:spacing w:line="276" w:lineRule="auto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</w:p>
    <w:p w14:paraId="1A456389" w14:textId="210F2628" w:rsidR="008A72D3" w:rsidRPr="0083147E" w:rsidRDefault="008A72D3" w:rsidP="00DE2D38">
      <w:pPr>
        <w:spacing w:line="276" w:lineRule="auto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83147E"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  <w:t>SUPPORTING STATEMENT</w:t>
      </w:r>
      <w:r w:rsidR="00B251D2" w:rsidRPr="0083147E"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  <w:t>:</w:t>
      </w:r>
      <w:r w:rsidR="00DE5D86" w:rsidRPr="0083147E"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 w:rsidR="00B251D2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 </w:t>
      </w:r>
      <w:r w:rsidR="00DE5D86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Proponent </w:t>
      </w:r>
      <w:r w:rsidR="00B251D2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suggest</w:t>
      </w:r>
      <w:r w:rsidR="00DE5D86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s </w:t>
      </w:r>
      <w:r w:rsidR="00B251D2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this analysis include</w:t>
      </w:r>
      <w:r w:rsidR="00D34C8F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 </w:t>
      </w:r>
      <w:r w:rsidR="00B251D2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consider</w:t>
      </w:r>
      <w:r w:rsidR="00DE5D86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 </w:t>
      </w:r>
      <w:r w:rsidR="00D34C8F" w:rsidRPr="0083147E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strategies beyond legal compliance that the company may deploy to minimize or mitigate these risks.</w:t>
      </w:r>
    </w:p>
    <w:sectPr w:rsidR="008A72D3" w:rsidRPr="008314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F2A94" w14:textId="77777777" w:rsidR="00CD2CFE" w:rsidRDefault="00CD2CFE" w:rsidP="00F33CBF">
      <w:r>
        <w:separator/>
      </w:r>
    </w:p>
  </w:endnote>
  <w:endnote w:type="continuationSeparator" w:id="0">
    <w:p w14:paraId="38A20D5C" w14:textId="77777777" w:rsidR="00CD2CFE" w:rsidRDefault="00CD2CFE" w:rsidP="00F33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89A5" w14:textId="77777777" w:rsidR="005900EB" w:rsidRDefault="005900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E6C3C" w14:textId="77777777" w:rsidR="005900EB" w:rsidRDefault="005900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494A8" w14:textId="77777777" w:rsidR="005900EB" w:rsidRDefault="005900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52858" w14:textId="77777777" w:rsidR="00CD2CFE" w:rsidRDefault="00CD2CFE" w:rsidP="00F33CBF">
      <w:r>
        <w:separator/>
      </w:r>
    </w:p>
  </w:footnote>
  <w:footnote w:type="continuationSeparator" w:id="0">
    <w:p w14:paraId="51089999" w14:textId="77777777" w:rsidR="00CD2CFE" w:rsidRDefault="00CD2CFE" w:rsidP="00F33CBF">
      <w:r>
        <w:continuationSeparator/>
      </w:r>
    </w:p>
  </w:footnote>
  <w:footnote w:id="1">
    <w:p w14:paraId="4416DE85" w14:textId="4585C497" w:rsidR="00237B42" w:rsidRDefault="00237B4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37B42">
        <w:t>https://olin.washu.edu/about/news-and-media/news/2022/02/research-links-health-insurance-in-small-firms-to-higher-worker-productivity-and-retention.php?utm_source=chatgpt.com</w:t>
      </w:r>
    </w:p>
  </w:footnote>
  <w:footnote w:id="2">
    <w:p w14:paraId="66FD7BD4" w14:textId="13461282" w:rsidR="00A17347" w:rsidRDefault="00A1734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17347">
        <w:t>https://www.mckinsey.com/capabilities/people-and-organizational-performance/our-insights/the-surprising-state-of-employee-health</w:t>
      </w:r>
    </w:p>
  </w:footnote>
  <w:footnote w:id="3">
    <w:p w14:paraId="216E6A6D" w14:textId="77777777" w:rsidR="00C21CD4" w:rsidRDefault="00C21CD4" w:rsidP="00C21CD4">
      <w:pPr>
        <w:spacing w:line="276" w:lineRule="auto"/>
      </w:pPr>
      <w:r>
        <w:rPr>
          <w:rStyle w:val="FootnoteReference"/>
        </w:rPr>
        <w:footnoteRef/>
      </w:r>
      <w:r>
        <w:t xml:space="preserve"> </w:t>
      </w:r>
      <w:r w:rsidRPr="005D5577">
        <w:rPr>
          <w:rFonts w:eastAsia="Times New Roman" w:cs="Times New Roman"/>
          <w:sz w:val="18"/>
          <w:szCs w:val="18"/>
        </w:rPr>
        <w:t>https://www.mckinsey.com/mhi/our-insights/thriving-workplaces-how-employers-can-improve-productivity-and-change-lives</w:t>
      </w:r>
    </w:p>
  </w:footnote>
  <w:footnote w:id="4">
    <w:p w14:paraId="5D4EF901" w14:textId="53A6B7E4" w:rsidR="00A17347" w:rsidRDefault="00A1734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17347">
        <w:t>https://www.mckinsey.com/mhi/our-insights/thriving-workplaces-how-employers-can-improve-productivity-and-change-lives</w:t>
      </w:r>
    </w:p>
  </w:footnote>
  <w:footnote w:id="5">
    <w:p w14:paraId="727AC643" w14:textId="7E877454" w:rsidR="00243C2C" w:rsidRPr="00243C2C" w:rsidRDefault="00243C2C" w:rsidP="00243C2C">
      <w:pPr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>
        <w:rPr>
          <w:rStyle w:val="FootnoteReference"/>
        </w:rPr>
        <w:footnoteRef/>
      </w:r>
      <w:r>
        <w:t xml:space="preserve"> </w:t>
      </w:r>
      <w:r w:rsidRPr="00243C2C">
        <w:rPr>
          <w:rFonts w:eastAsia="Times New Roman" w:cs="Times New Roman"/>
          <w:color w:val="000000"/>
          <w:kern w:val="0"/>
          <w:sz w:val="18"/>
          <w:szCs w:val="18"/>
          <w14:ligatures w14:val="none"/>
        </w:rPr>
        <w:t>https://www.commonwealthfund.org/publications/issue-briefs/2023/jan/us-health-care-global-perspective-2022</w:t>
      </w:r>
      <w:r w:rsidRPr="001B1747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</w:p>
  </w:footnote>
  <w:footnote w:id="6">
    <w:p w14:paraId="043E128A" w14:textId="5B5B1450" w:rsidR="00227FE5" w:rsidRPr="00D23E8F" w:rsidRDefault="00227FE5" w:rsidP="00D23E8F">
      <w:pPr>
        <w:rPr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691261">
        <w:rPr>
          <w:rFonts w:eastAsia="Times New Roman" w:cs="Times New Roman"/>
          <w:sz w:val="18"/>
          <w:szCs w:val="18"/>
        </w:rPr>
        <w:t>https://www.commonwealthfund.org/publications/issue-briefs/2023/jan/us-health-care-global-perspective-2022</w:t>
      </w:r>
    </w:p>
  </w:footnote>
  <w:footnote w:id="7">
    <w:p w14:paraId="1CA9A051" w14:textId="40B803DC" w:rsidR="00D23E8F" w:rsidRDefault="00D23E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91261">
        <w:rPr>
          <w:rFonts w:eastAsia="Times New Roman" w:cs="Times New Roman"/>
          <w:sz w:val="18"/>
          <w:szCs w:val="18"/>
        </w:rPr>
        <w:t>https://www.kff.org/health-costs/issue-brief/americans-challenges-with-health-care-costs</w:t>
      </w:r>
    </w:p>
  </w:footnote>
  <w:footnote w:id="8">
    <w:p w14:paraId="472414F3" w14:textId="77777777" w:rsidR="00ED0E1A" w:rsidRDefault="00ED0E1A" w:rsidP="00ED0E1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E3D39">
        <w:t>https://www.newsweek.com/map-shows-states-worst-healthcare-2-2034544</w:t>
      </w:r>
    </w:p>
  </w:footnote>
  <w:footnote w:id="9">
    <w:p w14:paraId="4E4485F1" w14:textId="77777777" w:rsidR="00ED0E1A" w:rsidRDefault="00ED0E1A" w:rsidP="00ED0E1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E3D39">
        <w:t>https://www.forbes.com/advisor/health-insurance/best-worst-states-for-healthcare/</w:t>
      </w:r>
    </w:p>
  </w:footnote>
  <w:footnote w:id="10">
    <w:p w14:paraId="4B08BE0A" w14:textId="79A5C114" w:rsidR="00977348" w:rsidRDefault="0097734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77348">
        <w:t>https://journals.lww.com/joem/fulltext/2022/03000/employer_led_strategies_to_improve_the_value_of.6.aspx?utm_source=chatgpt.com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B73C7" w14:textId="0933B58E" w:rsidR="005900EB" w:rsidRDefault="005900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7B20F" w14:textId="1FC8BAB7" w:rsidR="005900EB" w:rsidRDefault="005900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CB5CF" w14:textId="70911731" w:rsidR="005900EB" w:rsidRDefault="005900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B07C5"/>
    <w:multiLevelType w:val="multilevel"/>
    <w:tmpl w:val="95A8F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82DD1"/>
    <w:multiLevelType w:val="multilevel"/>
    <w:tmpl w:val="C44E7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B3252"/>
    <w:multiLevelType w:val="multilevel"/>
    <w:tmpl w:val="59044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02854"/>
    <w:multiLevelType w:val="multilevel"/>
    <w:tmpl w:val="969C5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2840BD"/>
    <w:multiLevelType w:val="multilevel"/>
    <w:tmpl w:val="A1BC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111A93"/>
    <w:multiLevelType w:val="multilevel"/>
    <w:tmpl w:val="7EEEF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2546B9"/>
    <w:multiLevelType w:val="multilevel"/>
    <w:tmpl w:val="E8ACB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5303B5"/>
    <w:multiLevelType w:val="multilevel"/>
    <w:tmpl w:val="CED41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076D91"/>
    <w:multiLevelType w:val="multilevel"/>
    <w:tmpl w:val="270AF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D36F4"/>
    <w:multiLevelType w:val="multilevel"/>
    <w:tmpl w:val="E14A5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3273E5"/>
    <w:multiLevelType w:val="multilevel"/>
    <w:tmpl w:val="D8480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5D7703"/>
    <w:multiLevelType w:val="multilevel"/>
    <w:tmpl w:val="02A6F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1422A6"/>
    <w:multiLevelType w:val="hybridMultilevel"/>
    <w:tmpl w:val="D8246FF4"/>
    <w:lvl w:ilvl="0" w:tplc="894A5C6C">
      <w:start w:val="1"/>
      <w:numFmt w:val="bullet"/>
      <w:lvlRestart w:val="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B263B6"/>
    <w:multiLevelType w:val="multilevel"/>
    <w:tmpl w:val="A664F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B14F8C"/>
    <w:multiLevelType w:val="multilevel"/>
    <w:tmpl w:val="F3162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0642294">
    <w:abstractNumId w:val="7"/>
  </w:num>
  <w:num w:numId="2" w16cid:durableId="1092630267">
    <w:abstractNumId w:val="12"/>
  </w:num>
  <w:num w:numId="3" w16cid:durableId="680548012">
    <w:abstractNumId w:val="1"/>
  </w:num>
  <w:num w:numId="4" w16cid:durableId="1070663730">
    <w:abstractNumId w:val="6"/>
  </w:num>
  <w:num w:numId="5" w16cid:durableId="1725830718">
    <w:abstractNumId w:val="5"/>
  </w:num>
  <w:num w:numId="6" w16cid:durableId="1233270405">
    <w:abstractNumId w:val="3"/>
  </w:num>
  <w:num w:numId="7" w16cid:durableId="1041780884">
    <w:abstractNumId w:val="14"/>
  </w:num>
  <w:num w:numId="8" w16cid:durableId="476578185">
    <w:abstractNumId w:val="8"/>
  </w:num>
  <w:num w:numId="9" w16cid:durableId="1203595488">
    <w:abstractNumId w:val="0"/>
  </w:num>
  <w:num w:numId="10" w16cid:durableId="2113550448">
    <w:abstractNumId w:val="4"/>
  </w:num>
  <w:num w:numId="11" w16cid:durableId="901869893">
    <w:abstractNumId w:val="11"/>
  </w:num>
  <w:num w:numId="12" w16cid:durableId="123889704">
    <w:abstractNumId w:val="13"/>
  </w:num>
  <w:num w:numId="13" w16cid:durableId="1732656226">
    <w:abstractNumId w:val="9"/>
  </w:num>
  <w:num w:numId="14" w16cid:durableId="978070547">
    <w:abstractNumId w:val="2"/>
  </w:num>
  <w:num w:numId="15" w16cid:durableId="10126086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C8F"/>
    <w:rsid w:val="0000126F"/>
    <w:rsid w:val="00002C7A"/>
    <w:rsid w:val="00011905"/>
    <w:rsid w:val="00034085"/>
    <w:rsid w:val="0004003E"/>
    <w:rsid w:val="000524C6"/>
    <w:rsid w:val="00054CCC"/>
    <w:rsid w:val="00056ACF"/>
    <w:rsid w:val="000A7722"/>
    <w:rsid w:val="000B0587"/>
    <w:rsid w:val="000B4811"/>
    <w:rsid w:val="000C10DD"/>
    <w:rsid w:val="000F6608"/>
    <w:rsid w:val="0010277B"/>
    <w:rsid w:val="001116DD"/>
    <w:rsid w:val="0012168A"/>
    <w:rsid w:val="00146BD4"/>
    <w:rsid w:val="00146F62"/>
    <w:rsid w:val="0018196C"/>
    <w:rsid w:val="0019582F"/>
    <w:rsid w:val="001B1747"/>
    <w:rsid w:val="001B1B5A"/>
    <w:rsid w:val="001B60BB"/>
    <w:rsid w:val="001C360F"/>
    <w:rsid w:val="001D59E8"/>
    <w:rsid w:val="001F1EB8"/>
    <w:rsid w:val="00201057"/>
    <w:rsid w:val="00227FE5"/>
    <w:rsid w:val="00237B42"/>
    <w:rsid w:val="00243C2C"/>
    <w:rsid w:val="0025142F"/>
    <w:rsid w:val="002602DC"/>
    <w:rsid w:val="0026330F"/>
    <w:rsid w:val="002834B4"/>
    <w:rsid w:val="00285D4D"/>
    <w:rsid w:val="00290C17"/>
    <w:rsid w:val="002A16CA"/>
    <w:rsid w:val="002A4704"/>
    <w:rsid w:val="002C7A03"/>
    <w:rsid w:val="002D5BBE"/>
    <w:rsid w:val="002E6848"/>
    <w:rsid w:val="00324B39"/>
    <w:rsid w:val="003441DF"/>
    <w:rsid w:val="00352B75"/>
    <w:rsid w:val="00370EDC"/>
    <w:rsid w:val="00373756"/>
    <w:rsid w:val="003941CA"/>
    <w:rsid w:val="003A6D8E"/>
    <w:rsid w:val="003A702D"/>
    <w:rsid w:val="003C2E3D"/>
    <w:rsid w:val="003E0B5D"/>
    <w:rsid w:val="004026F7"/>
    <w:rsid w:val="00406C99"/>
    <w:rsid w:val="00415791"/>
    <w:rsid w:val="00422B25"/>
    <w:rsid w:val="00423D0B"/>
    <w:rsid w:val="004316ED"/>
    <w:rsid w:val="00435799"/>
    <w:rsid w:val="00437399"/>
    <w:rsid w:val="00450F5B"/>
    <w:rsid w:val="00470FCE"/>
    <w:rsid w:val="004833E8"/>
    <w:rsid w:val="004859E9"/>
    <w:rsid w:val="004C0610"/>
    <w:rsid w:val="004C47F0"/>
    <w:rsid w:val="004F5487"/>
    <w:rsid w:val="004F61E5"/>
    <w:rsid w:val="005346DA"/>
    <w:rsid w:val="00565DA2"/>
    <w:rsid w:val="0056655F"/>
    <w:rsid w:val="0057773C"/>
    <w:rsid w:val="005900EB"/>
    <w:rsid w:val="005903AA"/>
    <w:rsid w:val="00597127"/>
    <w:rsid w:val="005A1DB5"/>
    <w:rsid w:val="005A5258"/>
    <w:rsid w:val="005A6A75"/>
    <w:rsid w:val="005B1E0A"/>
    <w:rsid w:val="005B6615"/>
    <w:rsid w:val="005C0119"/>
    <w:rsid w:val="005F1E06"/>
    <w:rsid w:val="00604AF8"/>
    <w:rsid w:val="006134AE"/>
    <w:rsid w:val="00631D37"/>
    <w:rsid w:val="006523F1"/>
    <w:rsid w:val="006548BD"/>
    <w:rsid w:val="00691261"/>
    <w:rsid w:val="006A500C"/>
    <w:rsid w:val="006A6641"/>
    <w:rsid w:val="006C3D95"/>
    <w:rsid w:val="006D694C"/>
    <w:rsid w:val="006F0349"/>
    <w:rsid w:val="00733ED0"/>
    <w:rsid w:val="007415AF"/>
    <w:rsid w:val="007512A6"/>
    <w:rsid w:val="00774B32"/>
    <w:rsid w:val="00787F35"/>
    <w:rsid w:val="00790979"/>
    <w:rsid w:val="00794BBF"/>
    <w:rsid w:val="007A0CB1"/>
    <w:rsid w:val="007C45E0"/>
    <w:rsid w:val="007C5DBA"/>
    <w:rsid w:val="007D07B2"/>
    <w:rsid w:val="007E0682"/>
    <w:rsid w:val="007E301D"/>
    <w:rsid w:val="0080042E"/>
    <w:rsid w:val="00807BC3"/>
    <w:rsid w:val="0083147E"/>
    <w:rsid w:val="008472D2"/>
    <w:rsid w:val="008523C5"/>
    <w:rsid w:val="0087667F"/>
    <w:rsid w:val="00876B12"/>
    <w:rsid w:val="008772A5"/>
    <w:rsid w:val="008814A3"/>
    <w:rsid w:val="00890812"/>
    <w:rsid w:val="008931DD"/>
    <w:rsid w:val="008A0E42"/>
    <w:rsid w:val="008A72D3"/>
    <w:rsid w:val="008B00B7"/>
    <w:rsid w:val="008C090A"/>
    <w:rsid w:val="009039C4"/>
    <w:rsid w:val="00911191"/>
    <w:rsid w:val="009244CD"/>
    <w:rsid w:val="00934963"/>
    <w:rsid w:val="009546AD"/>
    <w:rsid w:val="0095618F"/>
    <w:rsid w:val="00964A7C"/>
    <w:rsid w:val="00965E80"/>
    <w:rsid w:val="00977348"/>
    <w:rsid w:val="009776B6"/>
    <w:rsid w:val="00996A29"/>
    <w:rsid w:val="009B21DE"/>
    <w:rsid w:val="009D050A"/>
    <w:rsid w:val="009E0506"/>
    <w:rsid w:val="009E42BB"/>
    <w:rsid w:val="009E591F"/>
    <w:rsid w:val="009F1F8D"/>
    <w:rsid w:val="00A17347"/>
    <w:rsid w:val="00A26FFB"/>
    <w:rsid w:val="00A31F78"/>
    <w:rsid w:val="00A834DE"/>
    <w:rsid w:val="00A83B9F"/>
    <w:rsid w:val="00AA170E"/>
    <w:rsid w:val="00AA3F39"/>
    <w:rsid w:val="00AB4237"/>
    <w:rsid w:val="00AC6EE6"/>
    <w:rsid w:val="00AD6AAD"/>
    <w:rsid w:val="00AD7A35"/>
    <w:rsid w:val="00B02141"/>
    <w:rsid w:val="00B1578D"/>
    <w:rsid w:val="00B251D2"/>
    <w:rsid w:val="00B35960"/>
    <w:rsid w:val="00B44E63"/>
    <w:rsid w:val="00B72611"/>
    <w:rsid w:val="00B82573"/>
    <w:rsid w:val="00B85AFC"/>
    <w:rsid w:val="00BB4A96"/>
    <w:rsid w:val="00BC561C"/>
    <w:rsid w:val="00BD4ECF"/>
    <w:rsid w:val="00BD5E65"/>
    <w:rsid w:val="00C21CD4"/>
    <w:rsid w:val="00C22BC5"/>
    <w:rsid w:val="00C350B3"/>
    <w:rsid w:val="00C35AAF"/>
    <w:rsid w:val="00C46B8E"/>
    <w:rsid w:val="00C611F6"/>
    <w:rsid w:val="00C67FEE"/>
    <w:rsid w:val="00C72BD2"/>
    <w:rsid w:val="00C82329"/>
    <w:rsid w:val="00C86AA1"/>
    <w:rsid w:val="00CA1028"/>
    <w:rsid w:val="00CB5381"/>
    <w:rsid w:val="00CC6669"/>
    <w:rsid w:val="00CD176A"/>
    <w:rsid w:val="00CD2CFE"/>
    <w:rsid w:val="00CE6A40"/>
    <w:rsid w:val="00D23E8F"/>
    <w:rsid w:val="00D26F85"/>
    <w:rsid w:val="00D3158F"/>
    <w:rsid w:val="00D34C8F"/>
    <w:rsid w:val="00D42FC5"/>
    <w:rsid w:val="00D44ABC"/>
    <w:rsid w:val="00D52074"/>
    <w:rsid w:val="00D65EDD"/>
    <w:rsid w:val="00D67B48"/>
    <w:rsid w:val="00D9180E"/>
    <w:rsid w:val="00DA07D4"/>
    <w:rsid w:val="00DA33DD"/>
    <w:rsid w:val="00DC4222"/>
    <w:rsid w:val="00DD3A56"/>
    <w:rsid w:val="00DE2D38"/>
    <w:rsid w:val="00DE5D86"/>
    <w:rsid w:val="00DF1CA9"/>
    <w:rsid w:val="00E03E3E"/>
    <w:rsid w:val="00E30F67"/>
    <w:rsid w:val="00E3624F"/>
    <w:rsid w:val="00E45774"/>
    <w:rsid w:val="00E6516C"/>
    <w:rsid w:val="00E711EC"/>
    <w:rsid w:val="00E828DB"/>
    <w:rsid w:val="00E87F38"/>
    <w:rsid w:val="00E94696"/>
    <w:rsid w:val="00EA4D17"/>
    <w:rsid w:val="00EB301F"/>
    <w:rsid w:val="00ED0E1A"/>
    <w:rsid w:val="00EF109A"/>
    <w:rsid w:val="00F2795E"/>
    <w:rsid w:val="00F33CBF"/>
    <w:rsid w:val="00F4657C"/>
    <w:rsid w:val="00F541BB"/>
    <w:rsid w:val="00F548CC"/>
    <w:rsid w:val="00F622B7"/>
    <w:rsid w:val="00FA04D8"/>
    <w:rsid w:val="00FC2509"/>
    <w:rsid w:val="00FD550C"/>
    <w:rsid w:val="00FF290B"/>
    <w:rsid w:val="00FF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95B63C"/>
  <w15:chartTrackingRefBased/>
  <w15:docId w15:val="{B5F41353-2BF0-E64C-A500-5B0970B6B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33CB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16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16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561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561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5BB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34C8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F33C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3CB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F33CBF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F33CBF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styleId="Hyperlink">
    <w:name w:val="Hyperlink"/>
    <w:uiPriority w:val="99"/>
    <w:unhideWhenUsed/>
    <w:rsid w:val="00CA1028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00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00EB"/>
  </w:style>
  <w:style w:type="paragraph" w:styleId="Footer">
    <w:name w:val="footer"/>
    <w:basedOn w:val="Normal"/>
    <w:link w:val="FooterChar"/>
    <w:uiPriority w:val="99"/>
    <w:unhideWhenUsed/>
    <w:rsid w:val="005900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00EB"/>
  </w:style>
  <w:style w:type="character" w:styleId="UnresolvedMention">
    <w:name w:val="Unresolved Mention"/>
    <w:basedOn w:val="DefaultParagraphFont"/>
    <w:uiPriority w:val="99"/>
    <w:semiHidden/>
    <w:unhideWhenUsed/>
    <w:rsid w:val="00C72BD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E6A40"/>
  </w:style>
  <w:style w:type="table" w:styleId="TableGrid">
    <w:name w:val="Table Grid"/>
    <w:basedOn w:val="TableNormal"/>
    <w:uiPriority w:val="59"/>
    <w:rsid w:val="006A50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6330F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A72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72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72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2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72D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6655F"/>
    <w:pPr>
      <w:ind w:left="720"/>
      <w:contextualSpacing/>
    </w:pPr>
  </w:style>
  <w:style w:type="paragraph" w:customStyle="1" w:styleId="pf0">
    <w:name w:val="pf0"/>
    <w:basedOn w:val="Normal"/>
    <w:rsid w:val="005665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f01">
    <w:name w:val="cf01"/>
    <w:basedOn w:val="DefaultParagraphFont"/>
    <w:rsid w:val="0056655F"/>
    <w:rPr>
      <w:rFonts w:ascii="Segoe UI" w:hAnsi="Segoe UI" w:cs="Segoe UI" w:hint="default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4316E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316E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5BB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95618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95618F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msonormal0">
    <w:name w:val="msonormal"/>
    <w:basedOn w:val="Normal"/>
    <w:rsid w:val="0095618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95618F"/>
    <w:rPr>
      <w:i/>
      <w:iCs/>
    </w:rPr>
  </w:style>
  <w:style w:type="character" w:styleId="Strong">
    <w:name w:val="Strong"/>
    <w:basedOn w:val="DefaultParagraphFont"/>
    <w:uiPriority w:val="22"/>
    <w:qFormat/>
    <w:rsid w:val="0095618F"/>
    <w:rPr>
      <w:b/>
      <w:bCs/>
    </w:rPr>
  </w:style>
  <w:style w:type="character" w:customStyle="1" w:styleId="end-of-page-body-copyheading">
    <w:name w:val="end-of-page-body-copy__heading"/>
    <w:basedOn w:val="DefaultParagraphFont"/>
    <w:rsid w:val="00956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7856">
          <w:marLeft w:val="0"/>
          <w:marRight w:val="0"/>
          <w:marTop w:val="0"/>
          <w:marBottom w:val="300"/>
          <w:divBdr>
            <w:top w:val="none" w:sz="0" w:space="8" w:color="auto"/>
            <w:left w:val="none" w:sz="0" w:space="0" w:color="auto"/>
            <w:bottom w:val="single" w:sz="6" w:space="23" w:color="AAAFB3"/>
            <w:right w:val="none" w:sz="0" w:space="0" w:color="auto"/>
          </w:divBdr>
          <w:divsChild>
            <w:div w:id="46812893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9033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211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38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21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6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06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0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68154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37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22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9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84951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47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0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68569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0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59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5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72957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0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04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40450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1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1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1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38287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8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5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4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33802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3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2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9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798515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2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24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982548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4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22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7769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3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45287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83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21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4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17798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3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56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18465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4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0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831276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9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0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161518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7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59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35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67481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30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95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56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20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6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69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1" w:color="979797"/>
            <w:right w:val="none" w:sz="0" w:space="0" w:color="auto"/>
          </w:divBdr>
          <w:divsChild>
            <w:div w:id="917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23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04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152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5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499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688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0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50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2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32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427197">
                          <w:marLeft w:val="0"/>
                          <w:marRight w:val="90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161594">
                              <w:marLeft w:val="0"/>
                              <w:marRight w:val="5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6895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616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48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59092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15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9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2547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3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09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35255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4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2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8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83432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7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1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55610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83667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349959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97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7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973046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64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2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56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23083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9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7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45309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0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02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31069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32475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9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9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16354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6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2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83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3538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2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0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625874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4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67288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26938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512921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7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54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1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898364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3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7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521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16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25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36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408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92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121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21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51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93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608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03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76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1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4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3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9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719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3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66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13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13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1" w:color="979797"/>
            <w:right w:val="none" w:sz="0" w:space="0" w:color="auto"/>
          </w:divBdr>
          <w:divsChild>
            <w:div w:id="21181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0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1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78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432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407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357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305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5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53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256443">
                          <w:marLeft w:val="0"/>
                          <w:marRight w:val="90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529780">
                              <w:marLeft w:val="0"/>
                              <w:marRight w:val="5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432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761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1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504553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806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7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643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9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4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73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31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63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61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71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1995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4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5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75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007786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7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2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86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98511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8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4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180602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57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4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8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786006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8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9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746213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4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8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47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09588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1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29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48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817038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3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78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525113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8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42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51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51747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8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14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49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635481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46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03756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66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70054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6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53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43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179285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69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9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44937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4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7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3643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6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3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28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19243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94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37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117569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63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045776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0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74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05950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82867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553794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05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7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85656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8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4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982453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2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1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65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958945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33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01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23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69199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7908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1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8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681650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7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95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34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27344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36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6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38022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45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53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29855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98107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61025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4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8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12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71046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2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48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50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08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30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42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2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3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14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301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457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8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35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98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04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991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31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77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7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56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88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1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7374">
          <w:marLeft w:val="0"/>
          <w:marRight w:val="0"/>
          <w:marTop w:val="0"/>
          <w:marBottom w:val="300"/>
          <w:divBdr>
            <w:top w:val="none" w:sz="0" w:space="8" w:color="auto"/>
            <w:left w:val="none" w:sz="0" w:space="0" w:color="auto"/>
            <w:bottom w:val="single" w:sz="6" w:space="23" w:color="AAAFB3"/>
            <w:right w:val="none" w:sz="0" w:space="0" w:color="auto"/>
          </w:divBdr>
          <w:divsChild>
            <w:div w:id="172571904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0018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6D6E2EB-248B-AC4A-B8CE-ECC66EE7B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2</Pages>
  <Words>458</Words>
  <Characters>2477</Characters>
  <Application>Microsoft Office Word</Application>
  <DocSecurity>0</DocSecurity>
  <Lines>44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Alpern</dc:creator>
  <cp:keywords/>
  <dc:description/>
  <cp:lastModifiedBy>Meredith  Benton</cp:lastModifiedBy>
  <cp:revision>16</cp:revision>
  <dcterms:created xsi:type="dcterms:W3CDTF">2025-11-26T05:49:00Z</dcterms:created>
  <dcterms:modified xsi:type="dcterms:W3CDTF">2025-11-26T18:31:00Z</dcterms:modified>
</cp:coreProperties>
</file>